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69" w:rsidRPr="00427D69" w:rsidRDefault="00427D69" w:rsidP="00427D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7D69">
        <w:rPr>
          <w:rFonts w:ascii="Times New Roman" w:eastAsia="Times New Roman" w:hAnsi="Times New Roman" w:cs="Times New Roman"/>
          <w:b/>
          <w:bCs/>
          <w:sz w:val="36"/>
          <w:szCs w:val="36"/>
        </w:rPr>
        <w:t>Texts and Origin</w:t>
      </w:r>
    </w:p>
    <w:p w:rsidR="00427D69" w:rsidRPr="00427D69" w:rsidRDefault="00427D69" w:rsidP="0042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The Prayer and accompanying Song are not found in the Hebrew/Aramaic text of the Book of Daniel, nor are they cited in any extant ancient Jewish writings. However, the passage does appear in certain ancient witnesses, notably the Greek,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Syriac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, and Latin.</w:t>
      </w:r>
    </w:p>
    <w:p w:rsidR="00427D69" w:rsidRDefault="00427D69" w:rsidP="0042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The origins of these writings are obscure. Whether the accounts were originally composed in Hebrew (or Aramaic) or in Greek is uncertain, although many modern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scholars</w:t>
      </w:r>
      <w:r w:rsidRPr="00427D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430DF4" w:rsidRPr="00427D6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ldChar w:fldCharType="begin"/>
      </w:r>
      <w:r w:rsidRPr="00427D6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instrText xml:space="preserve"> HYPERLINK "http://en.wikipedia.org/wiki/Wikipedia:Avoid_weasel_words" \o "Wikipedia:Avoid weasel words" </w:instrText>
      </w:r>
      <w:r w:rsidR="00430DF4" w:rsidRPr="00427D6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ldChar w:fldCharType="separate"/>
      </w:r>
      <w:r w:rsidRPr="00427D6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</w:rPr>
        <w:t>who?</w:t>
      </w:r>
      <w:r w:rsidR="00430DF4" w:rsidRPr="00427D6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ldChar w:fldCharType="end"/>
      </w:r>
      <w:r w:rsidRPr="00427D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conclude on the basis of textual evidence that there was probably an original Semitic edition. The date of composition of these documents is also uncertain, although many scholars favor a date either in the second or first century B.C.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66"/>
        <w:gridCol w:w="9099"/>
      </w:tblGrid>
      <w:tr w:rsidR="00FF30EA" w:rsidTr="00FF3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</w:p>
        </w:tc>
      </w:tr>
      <w:tr w:rsidR="00FF30EA" w:rsidTr="00FF30EA">
        <w:trPr>
          <w:tblCellSpacing w:w="15" w:type="dxa"/>
        </w:trPr>
        <w:tc>
          <w:tcPr>
            <w:tcW w:w="0" w:type="auto"/>
            <w:hideMark/>
          </w:tcPr>
          <w:p w:rsidR="00FF30EA" w:rsidRDefault="00FF30E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775" cy="85725"/>
                  <wp:effectExtent l="19050" t="0" r="9525" b="0"/>
                  <wp:docPr id="1" name="Picture 1" descr="http://www.factbites.com/images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ctbites.com/images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Three</w:t>
            </w:r>
            <w:r>
              <w:t xml:space="preserve"> sections are preserved only in the </w:t>
            </w:r>
            <w:hyperlink r:id="rId5" w:tooltip="Septuagint" w:history="1">
              <w:r>
                <w:rPr>
                  <w:rStyle w:val="Hyperlink"/>
                </w:rPr>
                <w:t>Septuagint</w:t>
              </w:r>
            </w:hyperlink>
            <w:r>
              <w:t xml:space="preserve">, and are considered </w:t>
            </w:r>
            <w:hyperlink r:id="rId6" w:tooltip="Apocrypha" w:history="1">
              <w:proofErr w:type="gramStart"/>
              <w:r>
                <w:rPr>
                  <w:rStyle w:val="Hyperlink"/>
                </w:rPr>
                <w:t>apocryphal</w:t>
              </w:r>
            </w:hyperlink>
            <w:r>
              <w:t xml:space="preserve"> by </w:t>
            </w:r>
            <w:hyperlink r:id="rId7" w:tooltip="Protestant" w:history="1">
              <w:r>
                <w:rPr>
                  <w:rStyle w:val="Hyperlink"/>
                </w:rPr>
                <w:t>Protestant</w:t>
              </w:r>
            </w:hyperlink>
            <w:r>
              <w:t xml:space="preserve"> Christians and Jews,</w:t>
            </w:r>
            <w:proofErr w:type="gramEnd"/>
            <w:r>
              <w:t xml:space="preserve"> and </w:t>
            </w:r>
            <w:proofErr w:type="spellStart"/>
            <w:r>
              <w:t>deuterocanonical</w:t>
            </w:r>
            <w:proofErr w:type="spellEnd"/>
            <w:r>
              <w:t xml:space="preserve"> by Catholic and Orthodox Christians. </w:t>
            </w:r>
          </w:p>
        </w:tc>
      </w:tr>
      <w:tr w:rsidR="00FF30EA" w:rsidTr="00FF30EA">
        <w:trPr>
          <w:tblCellSpacing w:w="15" w:type="dxa"/>
        </w:trPr>
        <w:tc>
          <w:tcPr>
            <w:tcW w:w="0" w:type="auto"/>
            <w:hideMark/>
          </w:tcPr>
          <w:p w:rsidR="00FF30EA" w:rsidRDefault="00FF30E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775" cy="85725"/>
                  <wp:effectExtent l="19050" t="0" r="9525" b="0"/>
                  <wp:docPr id="2" name="Picture 2" descr="http://www.factbites.com/images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ctbites.com/images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  <w:r>
              <w:t xml:space="preserve">The </w:t>
            </w:r>
            <w:r>
              <w:rPr>
                <w:b/>
                <w:bCs/>
              </w:rPr>
              <w:t>Prayer</w:t>
            </w:r>
            <w:r>
              <w:t xml:space="preserve"> of </w:t>
            </w:r>
            <w:proofErr w:type="spellStart"/>
            <w:r>
              <w:rPr>
                <w:b/>
                <w:bCs/>
              </w:rPr>
              <w:t>Azariah</w:t>
            </w:r>
            <w:proofErr w:type="spellEnd"/>
            <w:r>
              <w:t xml:space="preserve"> and </w:t>
            </w:r>
            <w:r>
              <w:rPr>
                <w:b/>
                <w:bCs/>
              </w:rPr>
              <w:t>Song</w:t>
            </w:r>
            <w:r>
              <w:t xml:space="preserve"> of the </w:t>
            </w:r>
            <w:r>
              <w:rPr>
                <w:b/>
                <w:bCs/>
              </w:rPr>
              <w:t>Three</w:t>
            </w:r>
            <w:r>
              <w:t xml:space="preserve"> </w:t>
            </w:r>
            <w:r>
              <w:rPr>
                <w:b/>
                <w:bCs/>
              </w:rPr>
              <w:t>Holy</w:t>
            </w:r>
            <w:r>
              <w:t xml:space="preserve"> </w:t>
            </w:r>
            <w:r>
              <w:rPr>
                <w:b/>
                <w:bCs/>
              </w:rPr>
              <w:t>Children</w:t>
            </w:r>
            <w:r>
              <w:t xml:space="preserve"> are retained in the </w:t>
            </w:r>
            <w:hyperlink r:id="rId8" w:tooltip="Septuagint" w:history="1">
              <w:r>
                <w:rPr>
                  <w:rStyle w:val="Hyperlink"/>
                </w:rPr>
                <w:t>Septuagint</w:t>
              </w:r>
            </w:hyperlink>
            <w:r>
              <w:t xml:space="preserve"> and in the Eastern Orthodox, Oriental Orthodox, and Catholic </w:t>
            </w:r>
            <w:hyperlink r:id="rId9" w:tooltip="Biblical canon" w:history="1">
              <w:r>
                <w:rPr>
                  <w:rStyle w:val="Hyperlink"/>
                </w:rPr>
                <w:t>canons</w:t>
              </w:r>
            </w:hyperlink>
            <w:r>
              <w:t xml:space="preserve">; the </w:t>
            </w:r>
            <w:r>
              <w:rPr>
                <w:b/>
                <w:bCs/>
              </w:rPr>
              <w:t>"Song</w:t>
            </w:r>
            <w:r>
              <w:t xml:space="preserve"> of the </w:t>
            </w:r>
            <w:r>
              <w:rPr>
                <w:b/>
                <w:bCs/>
              </w:rPr>
              <w:t>Three</w:t>
            </w:r>
            <w:r>
              <w:t xml:space="preserve"> </w:t>
            </w:r>
            <w:r>
              <w:rPr>
                <w:b/>
                <w:bCs/>
              </w:rPr>
              <w:t>Holy</w:t>
            </w:r>
            <w:r>
              <w:t xml:space="preserve"> Youths" is part of the Matins service in Orthodoxy, and of Lauds on Sundays and feast days in Catholicism. </w:t>
            </w:r>
          </w:p>
        </w:tc>
      </w:tr>
      <w:tr w:rsidR="00FF30EA" w:rsidTr="00FF30EA">
        <w:trPr>
          <w:tblCellSpacing w:w="15" w:type="dxa"/>
        </w:trPr>
        <w:tc>
          <w:tcPr>
            <w:tcW w:w="0" w:type="auto"/>
            <w:hideMark/>
          </w:tcPr>
          <w:p w:rsidR="00FF30EA" w:rsidRDefault="00FF30E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775" cy="85725"/>
                  <wp:effectExtent l="19050" t="0" r="9525" b="0"/>
                  <wp:docPr id="3" name="Picture 3" descr="http://www.factbites.com/images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actbites.com/images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  <w:r>
              <w:t xml:space="preserve">As mentioned above, the </w:t>
            </w:r>
            <w:r>
              <w:rPr>
                <w:b/>
                <w:bCs/>
              </w:rPr>
              <w:t>prayer</w:t>
            </w:r>
            <w:r>
              <w:t xml:space="preserve"> of </w:t>
            </w:r>
            <w:proofErr w:type="spellStart"/>
            <w:r>
              <w:rPr>
                <w:b/>
                <w:bCs/>
              </w:rPr>
              <w:t>Azariah</w:t>
            </w:r>
            <w:proofErr w:type="spellEnd"/>
            <w:r>
              <w:t xml:space="preserve"> and the </w:t>
            </w:r>
            <w:r>
              <w:rPr>
                <w:b/>
                <w:bCs/>
              </w:rPr>
              <w:t>Song</w:t>
            </w:r>
            <w:r>
              <w:t xml:space="preserve"> of the </w:t>
            </w:r>
            <w:r>
              <w:rPr>
                <w:b/>
                <w:bCs/>
              </w:rPr>
              <w:t>Three</w:t>
            </w:r>
            <w:r>
              <w:t xml:space="preserve"> </w:t>
            </w:r>
            <w:r>
              <w:rPr>
                <w:b/>
                <w:bCs/>
              </w:rPr>
              <w:t>Children</w:t>
            </w:r>
            <w:r>
              <w:t xml:space="preserve"> from the </w:t>
            </w:r>
            <w:proofErr w:type="spellStart"/>
            <w:r>
              <w:t>deuterocanonical</w:t>
            </w:r>
            <w:proofErr w:type="spellEnd"/>
            <w:r>
              <w:t xml:space="preserve"> parts of </w:t>
            </w:r>
            <w:hyperlink r:id="rId10" w:tooltip="Book of Daniel" w:history="1">
              <w:r>
                <w:rPr>
                  <w:rStyle w:val="Hyperlink"/>
                </w:rPr>
                <w:t>Daniel</w:t>
              </w:r>
            </w:hyperlink>
            <w:r>
              <w:t xml:space="preserve"> are widely used in Orthodox and Catholic </w:t>
            </w:r>
            <w:r>
              <w:rPr>
                <w:b/>
                <w:bCs/>
              </w:rPr>
              <w:t>prayer</w:t>
            </w:r>
            <w:r>
              <w:t>.</w:t>
            </w:r>
          </w:p>
        </w:tc>
      </w:tr>
      <w:tr w:rsidR="00FF30EA" w:rsidTr="00FF3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30EA" w:rsidRDefault="00FF30EA">
            <w:pPr>
              <w:rPr>
                <w:sz w:val="24"/>
                <w:szCs w:val="24"/>
              </w:rPr>
            </w:pPr>
          </w:p>
        </w:tc>
      </w:tr>
    </w:tbl>
    <w:p w:rsidR="00FF30EA" w:rsidRPr="00427D69" w:rsidRDefault="00FF30EA" w:rsidP="0042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D69" w:rsidRPr="00427D69" w:rsidRDefault="00427D69" w:rsidP="00427D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7D69">
        <w:rPr>
          <w:rFonts w:ascii="Times New Roman" w:eastAsia="Times New Roman" w:hAnsi="Times New Roman" w:cs="Times New Roman"/>
          <w:b/>
          <w:bCs/>
          <w:sz w:val="27"/>
          <w:szCs w:val="27"/>
        </w:rPr>
        <w:t>Text of the "Song of the Three Holy Children"</w:t>
      </w:r>
    </w:p>
    <w:p w:rsidR="00427D69" w:rsidRPr="00427D69" w:rsidRDefault="00427D69" w:rsidP="0042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>The following is the text of the "Song of the Three Holy Children" from the 1611 edition of the King James Bible, with spelling modernized: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Then the three, as out of one mouth, praised, glorified, and blessed God in the furnace, saying:</w:t>
      </w:r>
      <w:proofErr w:type="gramEnd"/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Blessed art thou, O Lord God of our fathers: and to be praised and exalted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And blessed is thy glorious and holy Name: and to be praised and exalted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Blessed art thou in the Temple of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thine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holy glory: and to be praised and glorified above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Blessed art thou that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beholdest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depths, and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sittest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upon the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Cherubims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, and to be praised and exalted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Blessed art thou on the glorious Throne of thy kingdom: and to be praised and glorified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Blessed art thou in the firmament of heaven: and above all to be praised and glorified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all ye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works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of the Lord,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heavens,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Angels of the Lord,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all ye waters that be above the heaven,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all ye powers of the Lord,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Sun and Moon,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stars of heaven,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every shower and dew,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bless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all ye winds,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fire and heat,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and Summer,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dews and storms of snow,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nights and days,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light and darkness,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ice and cold,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frost and snow,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lightnings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and clouds,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let the earth bless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mountains and little hills,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all ye things that grow on the earth,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fountains,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seas and rivers,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whales and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all that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move in the waters,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all ye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fowls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of the air,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all ye beasts and cattle, bless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children of men,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Israel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bless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ye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priests of the Lord,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servants of the Lord,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spirits and souls of the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righteous,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bless ye the Lord,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ye holy and humble men of heart, bless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ye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the Lord: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Ananias,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Azarias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Misael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, bless ye the Lord, praise and exalt him above all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: for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hath delivered us from hell, and saved us from the hand of death, and delivered us out of the midst of the furnace, and burning flame: even out of the midst of the fire hath he delivered vs.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427D69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thanks unto the Lord, because he is gracious: for his mercy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endureth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for ever.</w:t>
      </w:r>
    </w:p>
    <w:p w:rsidR="00427D69" w:rsidRPr="00427D69" w:rsidRDefault="00427D69" w:rsidP="0042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O all ye that worship the Lord, bless the God of gods, praise him, and give him thanks: for his mercy </w:t>
      </w:r>
      <w:proofErr w:type="spellStart"/>
      <w:r w:rsidRPr="00427D69">
        <w:rPr>
          <w:rFonts w:ascii="Times New Roman" w:eastAsia="Times New Roman" w:hAnsi="Times New Roman" w:cs="Times New Roman"/>
          <w:sz w:val="24"/>
          <w:szCs w:val="24"/>
        </w:rPr>
        <w:t>endureth</w:t>
      </w:r>
      <w:proofErr w:type="spellEnd"/>
      <w:r w:rsidRPr="00427D69">
        <w:rPr>
          <w:rFonts w:ascii="Times New Roman" w:eastAsia="Times New Roman" w:hAnsi="Times New Roman" w:cs="Times New Roman"/>
          <w:sz w:val="24"/>
          <w:szCs w:val="24"/>
        </w:rPr>
        <w:t xml:space="preserve"> for ever.</w:t>
      </w:r>
    </w:p>
    <w:p w:rsidR="00793F62" w:rsidRDefault="00793F62"/>
    <w:sectPr w:rsidR="00793F62" w:rsidSect="0079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D69"/>
    <w:rsid w:val="00422BB0"/>
    <w:rsid w:val="00427D69"/>
    <w:rsid w:val="00430DF4"/>
    <w:rsid w:val="00793F62"/>
    <w:rsid w:val="00E60179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2"/>
  </w:style>
  <w:style w:type="paragraph" w:styleId="Heading2">
    <w:name w:val="heading 2"/>
    <w:basedOn w:val="Normal"/>
    <w:link w:val="Heading2Char"/>
    <w:uiPriority w:val="9"/>
    <w:qFormat/>
    <w:rsid w:val="00427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7D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7D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427D69"/>
  </w:style>
  <w:style w:type="paragraph" w:styleId="NormalWeb">
    <w:name w:val="Normal (Web)"/>
    <w:basedOn w:val="Normal"/>
    <w:uiPriority w:val="99"/>
    <w:semiHidden/>
    <w:unhideWhenUsed/>
    <w:rsid w:val="0042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7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bites.com/topics/Septuag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tbites.com/topics/Protest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tbites.com/topics/Apocryp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tbites.com/topics/Septuagint" TargetMode="External"/><Relationship Id="rId10" Type="http://schemas.openxmlformats.org/officeDocument/2006/relationships/hyperlink" Target="http://www.factbites.com/topics/Book-of-Danie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actbites.com/topics/Biblical-can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Damiansville Catholic Church</dc:creator>
  <cp:keywords/>
  <dc:description/>
  <cp:lastModifiedBy>Damiansville Catholic Church</cp:lastModifiedBy>
  <cp:revision>2</cp:revision>
  <dcterms:created xsi:type="dcterms:W3CDTF">2013-10-28T14:42:00Z</dcterms:created>
  <dcterms:modified xsi:type="dcterms:W3CDTF">2013-10-28T14:42:00Z</dcterms:modified>
</cp:coreProperties>
</file>